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0F7A3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7A3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5pt;margin-top:260pt;width:222.5pt;height:113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090035" w:rsidRPr="00977F00" w:rsidRDefault="000F7A33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554062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554062"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муниципальную программу "Развитие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</w:r>
                  <w:r w:rsidRPr="00554062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0F7A33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0F7A3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0F7A33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0F7A3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76ED" w:rsidRDefault="009F76ED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C3236C" w:rsidRPr="00C3236C" w:rsidRDefault="00C3236C" w:rsidP="00C3236C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 января 2019 г. № 6/1 (в редакции от 29.03.2019 № 688, от 30.04.2019 № 910, от 21.06.2019 № 1148, от 10.07.2019 № 1237, 06.09.2019 № 1508, от 09.10.2019 </w:t>
      </w: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№ 1650, от 24.10.2019 № 1733, от 29.11.2019 № 1868, от 25.12.2019 № 2012, от 25.02.2020 № 188, от</w:t>
      </w:r>
      <w:proofErr w:type="gramEnd"/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06.03.2020 № 241, от 14.04.2020 № 406, от 21.05.2020 № 504, от 17.06.2020 № 577</w:t>
      </w:r>
      <w:r w:rsidR="00156898" w:rsidRPr="00156898">
        <w:rPr>
          <w:rFonts w:ascii="Times New Roman" w:eastAsia="Times New Roman" w:hAnsi="Times New Roman"/>
          <w:sz w:val="28"/>
          <w:szCs w:val="28"/>
          <w:lang w:eastAsia="ru-RU"/>
        </w:rPr>
        <w:t>, от 07.07.2020 № 627</w:t>
      </w: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</w:p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3. Постановление вступает в силу после его официального опубликования. </w:t>
      </w:r>
    </w:p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C3236C" w:rsidRDefault="00C3236C" w:rsidP="00C3236C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3236C" w:rsidRPr="00C3236C" w:rsidRDefault="00C3236C" w:rsidP="00C3236C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       Ю.Г. Востриков</w:t>
      </w:r>
    </w:p>
    <w:p w:rsidR="00C3236C" w:rsidRPr="00C3236C" w:rsidRDefault="00C3236C" w:rsidP="00C3236C">
      <w:pPr>
        <w:spacing w:after="0" w:line="360" w:lineRule="exact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УТВЕРЖДЕНЫ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администрации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Чайковского городского округа</w:t>
      </w:r>
    </w:p>
    <w:p w:rsidR="00C3236C" w:rsidRPr="00C3236C" w:rsidRDefault="00C3236C" w:rsidP="00C3236C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 w:cs="Arial"/>
          <w:sz w:val="28"/>
          <w:szCs w:val="28"/>
          <w:lang w:eastAsia="ru-RU"/>
        </w:rPr>
        <w:t>от __________ № ____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C3236C" w:rsidRPr="00C3236C" w:rsidRDefault="00C3236C" w:rsidP="00C323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1. В паспорте Программы:</w:t>
      </w: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0"/>
      </w:tblGrid>
      <w:tr w:rsidR="00C3236C" w:rsidRPr="00C3236C" w:rsidTr="009B6006">
        <w:tc>
          <w:tcPr>
            <w:tcW w:w="10320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78"/>
              <w:gridCol w:w="1456"/>
              <w:gridCol w:w="1164"/>
              <w:gridCol w:w="1164"/>
              <w:gridCol w:w="1164"/>
              <w:gridCol w:w="1164"/>
              <w:gridCol w:w="1310"/>
            </w:tblGrid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9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Расходы (тыс. руб.)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2019г.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2021г.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2022г.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259 407,019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279 647,373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248 731,108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265 716,108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1 053 501,608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252 512,469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255 641,741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248 731,108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250 716,108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1 007 601,426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2 514,550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6 639,233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15 000,000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24 153,783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4 380,000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17 366,399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21 746,399</w:t>
                  </w:r>
                </w:p>
              </w:tc>
            </w:tr>
          </w:tbl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36C" w:rsidRPr="00C3236C" w:rsidTr="009B6006">
        <w:trPr>
          <w:trHeight w:val="2150"/>
        </w:trPr>
        <w:tc>
          <w:tcPr>
            <w:tcW w:w="10320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19"/>
              <w:gridCol w:w="2805"/>
              <w:gridCol w:w="932"/>
              <w:gridCol w:w="932"/>
              <w:gridCol w:w="883"/>
              <w:gridCol w:w="851"/>
              <w:gridCol w:w="978"/>
            </w:tblGrid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Ожидаемые результаты реализации программы </w:t>
                  </w:r>
                </w:p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hd w:val="clear" w:color="auto" w:fill="FFFFFF"/>
                    <w:suppressAutoHyphens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Коэффициент весомости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(план)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 (план)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Увеличения числа посещений мероприятий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числа участников клубных формирований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количества посещений театральных мероприятий 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Охват населения библиотечным обслуживанием,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посещаемости музейных учреждений реальными посетителями,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численности приоритетной группы (14 – 30 лет) от общего количества участников кружков и секций.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муниципальных учреждений культуры, здания 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которых находятся в удовлетворительном состоянии (не требуют капитального ремонта), %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обеспеченности кадрами по основным профессиям,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</w:tbl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изложить в следующей редакции: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20"/>
      </w:tblGrid>
      <w:tr w:rsidR="00C3236C" w:rsidRPr="00C3236C" w:rsidTr="009B6006">
        <w:tc>
          <w:tcPr>
            <w:tcW w:w="10320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78"/>
              <w:gridCol w:w="1456"/>
              <w:gridCol w:w="1164"/>
              <w:gridCol w:w="1164"/>
              <w:gridCol w:w="1164"/>
              <w:gridCol w:w="1164"/>
              <w:gridCol w:w="1310"/>
            </w:tblGrid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Объемы бюджетных ассигнований</w:t>
                  </w:r>
                </w:p>
              </w:tc>
              <w:tc>
                <w:tcPr>
                  <w:tcW w:w="1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59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Расходы (тыс. руб.)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2019г.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2020г.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2021г.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2022г.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Всего, в том числе: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259 407,019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282 662,373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245 716,108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265 716,108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1 053 501,608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252 512,469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258 656,741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245 716,108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250 716,108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1 007 601,426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2 514,550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6 639,233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15 000,000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24 153,783</w:t>
                  </w:r>
                </w:p>
              </w:tc>
            </w:tr>
            <w:tr w:rsidR="00C3236C" w:rsidRPr="00C3236C" w:rsidTr="009B6006">
              <w:trPr>
                <w:trHeight w:val="136"/>
              </w:trPr>
              <w:tc>
                <w:tcPr>
                  <w:tcW w:w="2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4 380,000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17 366,399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0,000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21 746,399</w:t>
                  </w:r>
                </w:p>
              </w:tc>
            </w:tr>
          </w:tbl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236C" w:rsidRPr="00C3236C" w:rsidTr="009B6006">
        <w:trPr>
          <w:trHeight w:val="2150"/>
        </w:trPr>
        <w:tc>
          <w:tcPr>
            <w:tcW w:w="10320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919"/>
              <w:gridCol w:w="2805"/>
              <w:gridCol w:w="932"/>
              <w:gridCol w:w="932"/>
              <w:gridCol w:w="883"/>
              <w:gridCol w:w="851"/>
              <w:gridCol w:w="978"/>
            </w:tblGrid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Ожидаемые результаты реализации программы </w:t>
                  </w:r>
                </w:p>
                <w:p w:rsidR="00C3236C" w:rsidRPr="00C3236C" w:rsidRDefault="00C3236C" w:rsidP="00C3236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hd w:val="clear" w:color="auto" w:fill="FFFFFF"/>
                    <w:suppressAutoHyphens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ind w:firstLine="33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целевого показателя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Коэффициент весомости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 (план)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 (план)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 (план)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 (план)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Увеличения числа посещений мероприятий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числа участников клубных формирований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количества посещений театральных мероприятий 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Охват населения библиотечным обслуживанием,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7,5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Увеличение посещаемости музейных учреждений реальными посетителями, (по сравнению с базовым периодом),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0,75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численности приоритетной группы (14 – 30 лет) от общего количества участников кружков и секций.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0,07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муниципальных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учреждений культуры, здания  которых находятся в удовлетворительном состоянии (не требуют капитального ремонта), %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0,11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объектов культурного наследия, находящихся в удовлетворительном состоянии, от общего количества объектов, находящихся в муниципальной собственности,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C3236C" w:rsidRPr="00C3236C" w:rsidTr="009B6006">
              <w:trPr>
                <w:trHeight w:val="160"/>
              </w:trPr>
              <w:tc>
                <w:tcPr>
                  <w:tcW w:w="2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обеспеченности кадрами по основным профессиям, %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0,12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</w:tr>
          </w:tbl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2. В паспорте </w:t>
      </w: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Подпрограммы 2 «Приведение в нормативное состояние учреждений сферы культуры и молодежной политики Чайковского городского округа»</w:t>
      </w: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3236C" w:rsidRPr="00C3236C" w:rsidRDefault="00C3236C" w:rsidP="00C32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позицию: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3"/>
        <w:gridCol w:w="1163"/>
        <w:gridCol w:w="1307"/>
        <w:gridCol w:w="1162"/>
        <w:gridCol w:w="1308"/>
        <w:gridCol w:w="1162"/>
        <w:gridCol w:w="1162"/>
      </w:tblGrid>
      <w:tr w:rsidR="00C3236C" w:rsidRPr="00C3236C" w:rsidTr="009B6006">
        <w:trPr>
          <w:trHeight w:val="136"/>
        </w:trPr>
        <w:tc>
          <w:tcPr>
            <w:tcW w:w="2839" w:type="dxa"/>
            <w:vMerge w:val="restart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149" w:type="dxa"/>
            <w:vMerge w:val="restart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27" w:type="dxa"/>
            <w:gridSpan w:val="5"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48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292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48" w:type="dxa"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48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8 145,256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10 826,616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3 160,400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22 277,672  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8 145,256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7 148,908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3 160,400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18 599,964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3 677,708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</w:tbl>
    <w:p w:rsidR="00C3236C" w:rsidRPr="00C3236C" w:rsidRDefault="00C3236C" w:rsidP="00C32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3"/>
        <w:gridCol w:w="1163"/>
        <w:gridCol w:w="1307"/>
        <w:gridCol w:w="1162"/>
        <w:gridCol w:w="1308"/>
        <w:gridCol w:w="1162"/>
        <w:gridCol w:w="1162"/>
      </w:tblGrid>
      <w:tr w:rsidR="00C3236C" w:rsidRPr="00C3236C" w:rsidTr="009B6006">
        <w:trPr>
          <w:trHeight w:val="136"/>
        </w:trPr>
        <w:tc>
          <w:tcPr>
            <w:tcW w:w="2839" w:type="dxa"/>
            <w:vMerge w:val="restart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149" w:type="dxa"/>
            <w:vMerge w:val="restart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27" w:type="dxa"/>
            <w:gridSpan w:val="5"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1148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292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2021г.</w:t>
            </w:r>
          </w:p>
        </w:tc>
        <w:tc>
          <w:tcPr>
            <w:tcW w:w="1148" w:type="dxa"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148" w:type="dxa"/>
            <w:hideMark/>
          </w:tcPr>
          <w:p w:rsidR="00C3236C" w:rsidRPr="00C3236C" w:rsidRDefault="00C3236C" w:rsidP="00C32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8 145,256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13 841,616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22 277,672  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8 145,256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10 163,908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145,400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18 599,964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краевой бюджет 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3 677,708  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3 677,708</w:t>
            </w:r>
          </w:p>
        </w:tc>
      </w:tr>
      <w:tr w:rsidR="00C3236C" w:rsidRPr="00C3236C" w:rsidTr="009B6006">
        <w:trPr>
          <w:trHeight w:val="136"/>
        </w:trPr>
        <w:tc>
          <w:tcPr>
            <w:tcW w:w="2839" w:type="dxa"/>
            <w:vMerge/>
            <w:vAlign w:val="center"/>
            <w:hideMark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hideMark/>
          </w:tcPr>
          <w:p w:rsidR="00C3236C" w:rsidRPr="00C3236C" w:rsidRDefault="00C3236C" w:rsidP="00C32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91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292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  <w:tc>
          <w:tcPr>
            <w:tcW w:w="1148" w:type="dxa"/>
            <w:vAlign w:val="center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0,000  </w:t>
            </w:r>
          </w:p>
        </w:tc>
      </w:tr>
    </w:tbl>
    <w:p w:rsidR="00C3236C" w:rsidRPr="00C3236C" w:rsidRDefault="00C3236C" w:rsidP="00C32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36C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  <w:r w:rsidRPr="00C3236C">
        <w:rPr>
          <w:rFonts w:ascii="Times New Roman" w:eastAsia="SimSun" w:hAnsi="Times New Roman"/>
          <w:sz w:val="28"/>
          <w:szCs w:val="28"/>
          <w:lang w:eastAsia="ru-RU"/>
        </w:rPr>
        <w:t xml:space="preserve"> к Программе </w:t>
      </w:r>
      <w:r w:rsidRPr="00C3236C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C3236C" w:rsidRPr="00C3236C" w:rsidRDefault="00C3236C" w:rsidP="00C323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C3236C" w:rsidRDefault="00C3236C" w:rsidP="00C3236C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he-IL"/>
        </w:rPr>
      </w:pPr>
    </w:p>
    <w:p w:rsidR="00C3236C" w:rsidRPr="00C3236C" w:rsidRDefault="00C3236C" w:rsidP="00C323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ru-RU"/>
        </w:rPr>
        <w:sectPr w:rsidR="00C3236C" w:rsidRPr="00C3236C" w:rsidSect="005B1D4A">
          <w:headerReference w:type="default" r:id="rId8"/>
          <w:pgSz w:w="11906" w:h="16838"/>
          <w:pgMar w:top="1134" w:right="567" w:bottom="851" w:left="1418" w:header="709" w:footer="709" w:gutter="0"/>
          <w:cols w:space="72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15608"/>
      </w:tblGrid>
      <w:tr w:rsidR="00C3236C" w:rsidRPr="00C3236C" w:rsidTr="009B6006">
        <w:trPr>
          <w:trHeight w:val="690"/>
        </w:trPr>
        <w:tc>
          <w:tcPr>
            <w:tcW w:w="15608" w:type="dxa"/>
            <w:vAlign w:val="bottom"/>
          </w:tcPr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236C" w:rsidRPr="00C3236C" w:rsidRDefault="00C3236C" w:rsidP="00C3236C">
            <w:pPr>
              <w:tabs>
                <w:tab w:val="left" w:pos="11166"/>
                <w:tab w:val="left" w:pos="12095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323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</w:p>
          <w:p w:rsidR="00C3236C" w:rsidRPr="00C3236C" w:rsidRDefault="00C3236C" w:rsidP="00C3236C">
            <w:pPr>
              <w:tabs>
                <w:tab w:val="left" w:pos="11166"/>
              </w:tabs>
              <w:autoSpaceDE w:val="0"/>
              <w:autoSpaceDN w:val="0"/>
              <w:adjustRightInd w:val="0"/>
              <w:spacing w:after="0" w:line="240" w:lineRule="auto"/>
              <w:ind w:left="105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3236C" w:rsidRPr="00C3236C" w:rsidRDefault="00C3236C" w:rsidP="00C3236C">
            <w:pPr>
              <w:tabs>
                <w:tab w:val="left" w:pos="11166"/>
              </w:tabs>
              <w:spacing w:after="0" w:line="240" w:lineRule="auto"/>
              <w:ind w:left="105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  <w:p w:rsidR="00C3236C" w:rsidRPr="00C3236C" w:rsidRDefault="00C3236C" w:rsidP="00C3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236C" w:rsidRPr="00C3236C" w:rsidRDefault="00C3236C" w:rsidP="00C323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Сводные финансовые затраты и показатели результативности выполнения муниципальной программы</w:t>
            </w:r>
          </w:p>
          <w:p w:rsidR="00C3236C" w:rsidRPr="00C3236C" w:rsidRDefault="00C3236C" w:rsidP="00C323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323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«Развитие культуры и молодежной политики Чайковского городского округа»</w:t>
            </w:r>
          </w:p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2130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236"/>
              <w:gridCol w:w="218"/>
              <w:gridCol w:w="8"/>
              <w:gridCol w:w="1129"/>
              <w:gridCol w:w="992"/>
              <w:gridCol w:w="1289"/>
              <w:gridCol w:w="1275"/>
              <w:gridCol w:w="1284"/>
              <w:gridCol w:w="1276"/>
              <w:gridCol w:w="834"/>
              <w:gridCol w:w="1375"/>
              <w:gridCol w:w="43"/>
              <w:gridCol w:w="524"/>
              <w:gridCol w:w="43"/>
              <w:gridCol w:w="658"/>
              <w:gridCol w:w="8"/>
              <w:gridCol w:w="43"/>
              <w:gridCol w:w="609"/>
              <w:gridCol w:w="57"/>
              <w:gridCol w:w="709"/>
              <w:gridCol w:w="60"/>
              <w:gridCol w:w="792"/>
              <w:gridCol w:w="34"/>
              <w:gridCol w:w="820"/>
              <w:gridCol w:w="6"/>
              <w:gridCol w:w="11"/>
              <w:gridCol w:w="372"/>
              <w:gridCol w:w="471"/>
              <w:gridCol w:w="344"/>
              <w:gridCol w:w="510"/>
              <w:gridCol w:w="305"/>
              <w:gridCol w:w="549"/>
              <w:gridCol w:w="266"/>
              <w:gridCol w:w="588"/>
              <w:gridCol w:w="232"/>
              <w:gridCol w:w="622"/>
              <w:gridCol w:w="854"/>
              <w:gridCol w:w="854"/>
            </w:tblGrid>
            <w:tr w:rsidR="00C3236C" w:rsidRPr="00C3236C" w:rsidTr="009B6006">
              <w:trPr>
                <w:gridAfter w:val="13"/>
                <w:wAfter w:w="5978" w:type="dxa"/>
                <w:trHeight w:val="6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 задачи, мероприятий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Объем финансирования,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Показатели результативности выполнения программы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Всего</w:t>
                  </w:r>
                  <w:proofErr w:type="gram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в том числе по годам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ед.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Базовое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313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План по годам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4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№ 1.  «Сохранение и развитие культурного потенциала Чайковского городского округа»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23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92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1.1.1. Показ спектаклей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106 181,539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24 469,565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25 882,476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27 914,749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27 914,749 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1.1.1.1.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зрителей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27 734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1.1.2. Обеспечение культурного отдыха населения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8 737,872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1 674,563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3 051,239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2 006,035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2 006,035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1.1.2.1.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10 000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1.1.3. Организация и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проведение   культурно-массовых мероприятий 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186 899,388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50 350,091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44 630,877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45 944,242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45 974,178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1.1.3.1.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участников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259 013  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1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259 013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21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1.1.4. Организация деятельности клубных формирований и формирований         самодеятельного народного творчества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98 729,280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23 750,523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24 510,853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25 248,920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25 218,984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1.1.4.1.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клубных формирований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1.1.5. Библиотечное, библиографическое и информационное обслуживание пользователей библиотеки 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94 236,488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23 975,459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22 238,181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24 011,424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24 011,424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1.1.5.1.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посещений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205400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205400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224 960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230 320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235 670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93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1.1.6. Организация публичного показа музейных предметов, музейных коллекций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59 225,154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14 059,569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14 842,541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15 161,522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15 161,522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1.1.6.1.</w:t>
                  </w:r>
                  <w:r w:rsidRPr="00C3236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посетителей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25 200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27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25 500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81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1.1.7. Дополнительное образование детей художественно-эстетической направленности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253 930,015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62 659,312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63 948,241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63 561,231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63 761,231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1.1.7.1.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детей, ставших победителями и призерами краевых (региональных), всероссийских и международных мероприятий от контингента учащихся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 Организация досуга детей, подростков и молодежи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56 492,499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21 279,251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11 806,868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11 703,190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11 703,190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22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1.1.8.2.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Доля численности приоритетной группы (14 – 30 лет) от общего количества участников кружков и секций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50  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55  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55  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1.1.9. Организация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60 143,994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7 755,756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17 610,232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17 389,003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17 389,003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1.1.9.1.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 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85  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07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1.1.10. Реализация мероприятий в сфере молодежной политики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45,450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22,725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22,725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1.1.10.1.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мероприятий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ед.    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             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9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keepNext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1.1.10.2. Количество участников мероприятий    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 по задаче № 1.1.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925 021,679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230 196,814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228 744,233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924 621,679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229 996,814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228 544,233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232 940,316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233 140,316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538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8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1.2. Формирование культурного имиджа территории, развитие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культурно-досуговой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и социально-проектной деятельности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8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1.2.1. Фестиваль искусств детей и юношества Пермского края им.Д.Б.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Кабалевского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«Наш Пермский край»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2 200,000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200,000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1 000,000  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1 000,000  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участников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1 000</w:t>
                  </w:r>
                </w:p>
              </w:tc>
            </w:tr>
            <w:tr w:rsidR="00C3236C" w:rsidRPr="00C3236C" w:rsidTr="009B6006">
              <w:trPr>
                <w:gridAfter w:val="3"/>
                <w:wAfter w:w="2330" w:type="dxa"/>
                <w:trHeight w:val="115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 Организация и проведение значимых мероприятий и юбилейных дат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10 125,713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2 350,000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5 875,713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 Международная академия молодых композиторов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3 257,740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550,00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807,740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950,000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стран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участниц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менее 4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1.2.2.2. День города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3 100,00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1 800,00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1 300,000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участников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чел.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45000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1.2.2.3. Мероприятия, посвященные 75-летию Победы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3 625,713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3 625,713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1.2.2.3.1.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1.2.2.4. Культурно-просветительский проект «Аллея-45 года»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142,260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142,260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1.2.2.4.1.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1.2.3. Издательская деятельность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688,900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1.2.3.1.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изданий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15 951,426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6 075,713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15 951,426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3 038,900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6 075,713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1 950,000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1.3. Поддержка и развитие отрасли культуры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54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1.3.1. Поддержка творческой деятельности и укрепление материально-технической базы муниципальных театров 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1 281,685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615,018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творческих проектов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1.3.1.2.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приобретенной мебели и технического и технологического оборудования,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необходимого для осуществления творческой деятельности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157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3 114,486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1 494,486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95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8 420,674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4 040,674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389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1.3.2. Развитие и укрепление материально-технической базы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культурно-досуговых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учреждений (и их филиалов), расположенных в населенных пунктах с числом жителей до 50 тысяч человек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330,000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720,900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720,900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1 949,100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1 949,100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1.3.3. Строительство дома культуры в деревне Буренка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6 750,332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1 750,332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5 000,000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1.3.3.1.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15 000,000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1.3.4. Обеспечение музыкальными инструментами, оборудованием и материалами образовательных учреждений в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сфере культуры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1.3.4.1.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700"/>
              </w:trPr>
              <w:tc>
                <w:tcPr>
                  <w:tcW w:w="146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Итого по задаче № 1.3.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37 767,177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6 666,667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10 900,510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20 000,00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8 562,017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666,667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2 695,350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5 000,00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18 835,386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1 620,000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2 215,386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10 369,774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5 989,774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1.4. Федеральный проект «Культурная среда»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1.4.1. Государственная поддержка отрасли культуры</w:t>
                  </w:r>
                </w:p>
              </w:tc>
              <w:tc>
                <w:tcPr>
                  <w:tcW w:w="135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1.4.1.1.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2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5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1.4.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11 619,909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11 619,909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697,145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546,138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10 376,626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15322" w:type="dxa"/>
                  <w:gridSpan w:val="2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1.5. Федеральный проект «Цифровая культура»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1.5.1. Создание виртуальных концертных залов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1.5.1.1.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виртуальных концертных залов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6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38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2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1.5.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3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54" w:type="dxa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№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988 423,378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239 902,381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258 340,365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255 090,316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946 895,454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233 702,381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238 012,441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235 090,316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240 090,316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19 781,524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1 820,000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2 961,524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15 000,000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21 746,399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4 380,000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17 366,399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2: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2.1. Обеспечение нормативного состояния учреждений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 Приведение в нормативное состояние имущественных комплексов учреждений в соответствии с противопожарным законодательством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2.1.1.1. Замена автоматической пожарной сигнализации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236,310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236,310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2.1.1.1.1 Число учреждений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2.1.1.2.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Проведение текущего ремонта противопожарного водопровода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Вассятский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Управлени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местный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819,126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344,403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2.1.1.2.1 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Число учреждений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2.1.1.3. Проведение ремонтных работ системы пожаротушения и внутреннего пожарного водопровода, системы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дымоудаления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 Огнезащитная обработка поверхностей. Монтаж противопожарного оборудования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3 352,399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3 352,399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2.1.1.3.1 Число учреждений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4 407,835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3 933,112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474,723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2.2. Проведение ремонтных работ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 Текущий, капитальный ремонт муниципальных учреждений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4 333,184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2 473,708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1 859,476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2.2.1.1. Ремонт входной группы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446,898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446,898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2.2.1.1.1. 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2.2.2. Реализация программ развития преобразованных муниципальных образований (ремонт помещений муниципальных учреждений)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2.2.2.1.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4 905,184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2 431,476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4 619,184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2 473,708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2 145,476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286,000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286,000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2.3. Обновление материально-технической базы муниципальных учреждений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2.3.1. Приобретение оборудования и инвентаря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5 399,253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4 963,053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0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2.3.2. Установка (монтаж) единых функционирующих систем (включая охранную систему видеонаблюде</w:t>
                  </w: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ния, контроля доступа и иных аналогичных систем)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449,257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139,536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309,721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2.3.2.1.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29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Итого по задаче № 2.3.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5 848,510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5 272,774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5 848,510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284,936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5 272,774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2.4. Обеспечение доступности учреждений культуры и молодежной политики для инвалидов и других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маломобильных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групп населения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2.4.1. Приведение в нормативное состояние имущественных комплексов учреждений с целью обеспечения доступности инвалидов и других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маломобильных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 населения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2.4.1.1.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460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0"/>
              </w:trPr>
              <w:tc>
                <w:tcPr>
                  <w:tcW w:w="14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2.4.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558,965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2.5. Приведение в нормативное состояние имущественных комплексов учреждений культуры и молодежной политики в рамках приоритетного регионального проекта 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2.5.1. Приведение в нормативное состояние имущественных комплексов учреждений культуры в рамках приоритетного регионального проекта «приведение в нормативное состояние объектов общественной инфраструктуры муниципального значения»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2.5.1.1. Ремонт здания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Большебукорский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52,74525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52,74525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2.5.1.1.1.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158,23575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158,23575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2.5.1.2. Ремонт здания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Вассятский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сельский дом культуры МАУК «ЧЦРК»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374,97700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374,97700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2.5.1.2.1.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1 124,93100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1 124,93100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2.5.1.3. Ремонт здания МБУ ДО «ЧДШИ №3»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567,47692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567,47692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2.5.1.3.1.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1 702,43076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1 702,43076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2.5.1.4. Ремонт помещения МБУК «Чайковская ЦБС»</w:t>
                  </w:r>
                </w:p>
              </w:tc>
              <w:tc>
                <w:tcPr>
                  <w:tcW w:w="11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135,36990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135,36990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2.5.1.4.1.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Число учреждений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615"/>
              </w:trPr>
              <w:tc>
                <w:tcPr>
                  <w:tcW w:w="14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406,10970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406,10970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7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2.5.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4 522,278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4 522,278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1 130,570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3 391,708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Задача № 2.6. Сохранение историко-культурного наследия Чайковского городского округа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2.6.1. Ремонт и содержание объектов историко-культурного наследия в удовлетворительном состоянии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Количество объектов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2.6.2. Проект «Архитектурно-этнографический комплекс «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Сайгатка</w:t>
                  </w:r>
                  <w:proofErr w:type="spell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УСИА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2.6.2.1.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разработанных</w:t>
                  </w:r>
                  <w:proofErr w:type="gramEnd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ПСД 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2.6.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местный </w:t>
                  </w: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2 034,900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1 453,500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581,400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277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22 277,672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13 841,616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18 599,964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8 145,256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10 163,908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145,400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3 677,708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3 677,708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№ 3. «Кадровая политика в сфере культуры и молодежной политики»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№ 3: Обеспечение условий для удовлетворения потребности отрасли в компетентных, высокомотивированных специалистах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специалистов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5332"/>
              </w:trPr>
              <w:tc>
                <w:tcPr>
                  <w:tcW w:w="1462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>3.1.1. Предоставление мер социальной поддержки отдельным категориям граждан, проживающим в сельской местности</w:t>
                  </w:r>
                </w:p>
              </w:tc>
              <w:tc>
                <w:tcPr>
                  <w:tcW w:w="11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3.1.1.1.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отдельных категорий работников учреждений культуры и дополнительного образования детей художественно-эстетической направленности от категории, имеющей право получать меры социальной поддержки 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1732"/>
              </w:trPr>
              <w:tc>
                <w:tcPr>
                  <w:tcW w:w="14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3.1.2. Социальные гарантии и льготы педагогическим работникам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3.1.2.1.</w:t>
                  </w: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Доля специалистов от категории,  имеющей право и получающей социальные гарантии и льготы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1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3.1.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3.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9 954,782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3 171,653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9 260,232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2 477,103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2 261,043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694,550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Подпрограмма 4.  «Обеспечение реализации муниципальной программы»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Цель Подпрограммы 4: Обеспечение управленческой деятельности учреждений</w:t>
                  </w:r>
                </w:p>
              </w:tc>
            </w:tr>
            <w:tr w:rsidR="00C3236C" w:rsidRPr="00C3236C" w:rsidTr="009B6006">
              <w:trPr>
                <w:gridAfter w:val="12"/>
                <w:wAfter w:w="5967" w:type="dxa"/>
                <w:trHeight w:val="85"/>
              </w:trPr>
              <w:tc>
                <w:tcPr>
                  <w:tcW w:w="15333" w:type="dxa"/>
                  <w:gridSpan w:val="2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 Обеспечение выполнения функций органами местного самоуправления</w:t>
                  </w:r>
                </w:p>
              </w:tc>
              <w:tc>
                <w:tcPr>
                  <w:tcW w:w="112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Управление </w:t>
                  </w:r>
                  <w:proofErr w:type="spellStart"/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КиМП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местный бюджет 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4.1.1.1.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Уровень достижения показателей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90</w:t>
                  </w:r>
                </w:p>
              </w:tc>
            </w:tr>
            <w:tr w:rsidR="00C3236C" w:rsidRPr="00C3236C" w:rsidTr="009B6006">
              <w:trPr>
                <w:gridAfter w:val="14"/>
                <w:wAfter w:w="5984" w:type="dxa"/>
                <w:trHeight w:val="85"/>
              </w:trPr>
              <w:tc>
                <w:tcPr>
                  <w:tcW w:w="146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4.1.1.2.</w:t>
                  </w:r>
                </w:p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Отсутствие просроченной кредиторской задолженности в учреждениях, подведомственных Управлению культуры и молодежной политики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17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 задаче № 4.1.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Итого Подпрограмма № 4.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32 845,776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8 187,729</w:t>
                  </w:r>
                </w:p>
              </w:tc>
              <w:tc>
                <w:tcPr>
                  <w:tcW w:w="12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8 219,349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 ПО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1 053 501,608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259 407,019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282 662,373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245 716,108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265 716,108  </w:t>
                  </w:r>
                </w:p>
              </w:tc>
              <w:tc>
                <w:tcPr>
                  <w:tcW w:w="5781" w:type="dxa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1 007 601,426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252 512,469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258 656,741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245 716,108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250 716,108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краевой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24 153,783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2 514,550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6 639,233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15 000,000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3236C" w:rsidRPr="00C3236C" w:rsidTr="009B6006">
              <w:trPr>
                <w:gridAfter w:val="13"/>
                <w:wAfter w:w="5978" w:type="dxa"/>
                <w:trHeight w:val="85"/>
              </w:trPr>
              <w:tc>
                <w:tcPr>
                  <w:tcW w:w="2591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21 746,399 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4 380,000  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17 366,399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236C" w:rsidRPr="00C3236C" w:rsidRDefault="00C3236C" w:rsidP="00C323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C3236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5781" w:type="dxa"/>
                  <w:gridSpan w:val="15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236C" w:rsidRPr="00C3236C" w:rsidRDefault="00C3236C" w:rsidP="00C3236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3236C" w:rsidRPr="00C3236C" w:rsidRDefault="00C3236C" w:rsidP="00C323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3236C" w:rsidRPr="00C3236C" w:rsidRDefault="00C3236C" w:rsidP="00C3236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36C" w:rsidRPr="00C3236C" w:rsidRDefault="00C3236C" w:rsidP="00C3236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3138ED" w:rsidRDefault="00C3236C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C3236C" w:rsidRPr="003138ED" w:rsidSect="00654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6ED" w:rsidRDefault="009F76ED" w:rsidP="009F76ED">
      <w:pPr>
        <w:spacing w:after="0" w:line="240" w:lineRule="auto"/>
      </w:pPr>
      <w:r>
        <w:separator/>
      </w:r>
    </w:p>
  </w:endnote>
  <w:endnote w:type="continuationSeparator" w:id="0">
    <w:p w:rsidR="009F76ED" w:rsidRDefault="009F76ED" w:rsidP="009F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6ED" w:rsidRDefault="009F76ED" w:rsidP="009F76ED">
      <w:pPr>
        <w:spacing w:after="0" w:line="240" w:lineRule="auto"/>
      </w:pPr>
      <w:r>
        <w:separator/>
      </w:r>
    </w:p>
  </w:footnote>
  <w:footnote w:type="continuationSeparator" w:id="0">
    <w:p w:rsidR="009F76ED" w:rsidRDefault="009F76ED" w:rsidP="009F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ED" w:rsidRPr="009F76ED" w:rsidRDefault="009F76ED" w:rsidP="009F76ED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F76ED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25.08.2020  г. Срок  приема заключений независимых экспертов до 08.09.2020 г. на электронный адрес tchaikovsky@permonline.ru</w:t>
    </w:r>
  </w:p>
  <w:p w:rsidR="009F76ED" w:rsidRDefault="009F76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F7A33"/>
    <w:rsid w:val="00156898"/>
    <w:rsid w:val="001D6C0F"/>
    <w:rsid w:val="00265A1C"/>
    <w:rsid w:val="002E7D81"/>
    <w:rsid w:val="003138ED"/>
    <w:rsid w:val="0049355E"/>
    <w:rsid w:val="00554062"/>
    <w:rsid w:val="005D1DAB"/>
    <w:rsid w:val="005D3769"/>
    <w:rsid w:val="00654461"/>
    <w:rsid w:val="006E74B9"/>
    <w:rsid w:val="007A0A87"/>
    <w:rsid w:val="007C0DE8"/>
    <w:rsid w:val="00812B7E"/>
    <w:rsid w:val="00970AE4"/>
    <w:rsid w:val="00977F00"/>
    <w:rsid w:val="009B6B8D"/>
    <w:rsid w:val="009F76ED"/>
    <w:rsid w:val="00B27042"/>
    <w:rsid w:val="00C3236C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21</Pages>
  <Words>3597</Words>
  <Characters>20507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2020-08-25T07:54:00Z</dcterms:created>
  <dcterms:modified xsi:type="dcterms:W3CDTF">2020-08-25T07:54:00Z</dcterms:modified>
</cp:coreProperties>
</file>