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2772E0" w:rsidP="006A2F65">
      <w:pPr>
        <w:spacing w:before="480" w:line="360" w:lineRule="exact"/>
        <w:ind w:firstLine="720"/>
        <w:rPr>
          <w:sz w:val="28"/>
          <w:szCs w:val="28"/>
        </w:rPr>
      </w:pPr>
      <w:r w:rsidRPr="00277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2772E0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2E0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2772E0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2772E0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proofErr w:type="gramStart"/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</w:t>
      </w:r>
      <w:proofErr w:type="gramEnd"/>
      <w:r w:rsidR="00B32A3C" w:rsidRPr="003623EA">
        <w:rPr>
          <w:i/>
        </w:rPr>
        <w:t xml:space="preserve">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proofErr w:type="gramStart"/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Pr="002B50E5">
        <w:rPr>
          <w:i/>
        </w:rPr>
        <w:t>)</w:t>
      </w:r>
      <w:proofErr w:type="gramEnd"/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792DE0">
        <w:rPr>
          <w:sz w:val="28"/>
        </w:rPr>
        <w:t>Контроль за</w:t>
      </w:r>
      <w:proofErr w:type="gramEnd"/>
      <w:r w:rsidRPr="00792DE0">
        <w:rPr>
          <w:sz w:val="28"/>
        </w:rPr>
        <w:t xml:space="preserve">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4831FC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177B74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№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7B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7B74">
              <w:rPr>
                <w:sz w:val="20"/>
                <w:szCs w:val="20"/>
              </w:rPr>
              <w:t>/</w:t>
            </w:r>
            <w:proofErr w:type="spellStart"/>
            <w:r w:rsidRPr="00177B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Ед.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177B74">
              <w:rPr>
                <w:sz w:val="20"/>
                <w:szCs w:val="20"/>
              </w:rPr>
              <w:t>изм</w:t>
            </w:r>
            <w:proofErr w:type="spellEnd"/>
            <w:r w:rsidRPr="00177B74">
              <w:rPr>
                <w:sz w:val="20"/>
                <w:szCs w:val="20"/>
              </w:rPr>
              <w:t>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31FC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2020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77B7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2025 (план)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1647,51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посещений мероприятий, проводимых </w:t>
            </w:r>
            <w:proofErr w:type="spellStart"/>
            <w:r w:rsidRPr="00177B74">
              <w:rPr>
                <w:sz w:val="20"/>
                <w:szCs w:val="20"/>
              </w:rPr>
              <w:t>культурно-досуговыми</w:t>
            </w:r>
            <w:proofErr w:type="spellEnd"/>
            <w:r w:rsidRPr="00177B74">
              <w:rPr>
                <w:sz w:val="20"/>
                <w:szCs w:val="20"/>
              </w:rPr>
              <w:t xml:space="preserve">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5709F3" w:rsidRDefault="00BE7E02" w:rsidP="00BE7E02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5709F3">
              <w:rPr>
                <w:sz w:val="20"/>
                <w:szCs w:val="20"/>
              </w:rPr>
              <w:t>финансового</w:t>
            </w:r>
            <w:proofErr w:type="gramEnd"/>
          </w:p>
          <w:p w:rsidR="00BE7E02" w:rsidRPr="00891443" w:rsidRDefault="00BE7E02" w:rsidP="00BE7E02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5709F3" w:rsidRDefault="00BE7E02" w:rsidP="00BE7E0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</w:t>
            </w:r>
            <w:proofErr w:type="gramStart"/>
            <w:r w:rsidRPr="005709F3">
              <w:rPr>
                <w:sz w:val="20"/>
                <w:szCs w:val="20"/>
              </w:rPr>
              <w:t>в</w:t>
            </w:r>
            <w:proofErr w:type="gramEnd"/>
            <w:r w:rsidRPr="005709F3">
              <w:rPr>
                <w:sz w:val="20"/>
                <w:szCs w:val="20"/>
              </w:rPr>
              <w:t xml:space="preserve"> </w:t>
            </w:r>
          </w:p>
          <w:p w:rsidR="00BE7E02" w:rsidRPr="00891443" w:rsidRDefault="00BE7E02" w:rsidP="00BE7E0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5709F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339 363,944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5709F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334 931,699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5709F3" w:rsidRDefault="00BE7E02" w:rsidP="00BE7E0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BE7E02" w:rsidRPr="00891443" w:rsidRDefault="00BE7E02" w:rsidP="00BE7E0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1 097,535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BE7E02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2" w:rsidRPr="00891443" w:rsidRDefault="00BE7E02" w:rsidP="00BE7E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BE7E02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BE7E02" w:rsidRPr="00891443" w:rsidRDefault="00BE7E02" w:rsidP="00BE7E02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BE7E02" w:rsidRPr="00891443" w:rsidRDefault="00BE7E02" w:rsidP="00BE7E02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 xml:space="preserve">Сфера культуры и молодежной политики включает 11 учреждений (юридических лиц) с филиалами, к которым относятся: 2 культурно – </w:t>
      </w:r>
      <w:proofErr w:type="spellStart"/>
      <w:r w:rsidRPr="00307C66">
        <w:rPr>
          <w:sz w:val="28"/>
        </w:rPr>
        <w:t>досуговых</w:t>
      </w:r>
      <w:proofErr w:type="spellEnd"/>
      <w:r w:rsidRPr="00307C66">
        <w:rPr>
          <w:sz w:val="28"/>
        </w:rPr>
        <w:t xml:space="preserve">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2. Формирование культурного имиджа территории, развитие </w:t>
            </w:r>
            <w:proofErr w:type="spellStart"/>
            <w:r w:rsidRPr="005E4C2E">
              <w:rPr>
                <w:sz w:val="28"/>
                <w:szCs w:val="28"/>
              </w:rPr>
              <w:t>культурно-досуговой</w:t>
            </w:r>
            <w:proofErr w:type="spellEnd"/>
            <w:r w:rsidRPr="005E4C2E">
              <w:rPr>
                <w:sz w:val="28"/>
                <w:szCs w:val="28"/>
              </w:rPr>
              <w:t xml:space="preserve">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47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9472A">
              <w:rPr>
                <w:sz w:val="20"/>
                <w:szCs w:val="20"/>
              </w:rPr>
              <w:t>/</w:t>
            </w:r>
            <w:proofErr w:type="spellStart"/>
            <w:r w:rsidRPr="004947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49472A">
              <w:rPr>
                <w:sz w:val="20"/>
                <w:szCs w:val="20"/>
              </w:rPr>
              <w:t>изм</w:t>
            </w:r>
            <w:proofErr w:type="spellEnd"/>
            <w:r w:rsidRPr="0049472A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1F2236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709F3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5709F3">
              <w:rPr>
                <w:sz w:val="20"/>
                <w:szCs w:val="20"/>
              </w:rPr>
              <w:t>финансового</w:t>
            </w:r>
            <w:proofErr w:type="gramEnd"/>
          </w:p>
          <w:p w:rsidR="001F2236" w:rsidRPr="005E4C2E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1F2236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1F2236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709F3" w:rsidRDefault="001F2236" w:rsidP="001F2236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</w:t>
            </w:r>
            <w:proofErr w:type="gramStart"/>
            <w:r w:rsidRPr="005709F3">
              <w:rPr>
                <w:sz w:val="20"/>
                <w:szCs w:val="20"/>
              </w:rPr>
              <w:t>в</w:t>
            </w:r>
            <w:proofErr w:type="gramEnd"/>
            <w:r w:rsidRPr="005709F3">
              <w:rPr>
                <w:sz w:val="20"/>
                <w:szCs w:val="20"/>
              </w:rPr>
              <w:t xml:space="preserve"> </w:t>
            </w:r>
          </w:p>
          <w:p w:rsidR="001F2236" w:rsidRPr="005E4C2E" w:rsidRDefault="001F2236" w:rsidP="001F2236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316 326,671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1F2236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311</w:t>
            </w:r>
            <w:r>
              <w:rPr>
                <w:color w:val="000000"/>
                <w:sz w:val="20"/>
                <w:szCs w:val="20"/>
              </w:rPr>
              <w:t> 894,426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1F2236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709F3" w:rsidRDefault="001F2236" w:rsidP="001F2236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1F2236" w:rsidRPr="005E4C2E" w:rsidRDefault="001F2236" w:rsidP="001F2236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1 097,535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5E4C2E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1F2236" w:rsidRPr="005E4C2E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 xml:space="preserve">Обеспечение доступности учреждений дополнительного образования, культуры и молодежной политики для инвалидов и других </w:t>
            </w:r>
            <w:proofErr w:type="spellStart"/>
            <w:r w:rsidRPr="008736CA">
              <w:rPr>
                <w:sz w:val="28"/>
                <w:szCs w:val="28"/>
              </w:rPr>
              <w:t>маломобильных</w:t>
            </w:r>
            <w:proofErr w:type="spellEnd"/>
            <w:r w:rsidRPr="008736CA">
              <w:rPr>
                <w:sz w:val="28"/>
                <w:szCs w:val="28"/>
              </w:rPr>
              <w:t xml:space="preserve">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946D3F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  <w:r w:rsidRPr="00B5370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№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37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3700">
              <w:rPr>
                <w:sz w:val="20"/>
                <w:szCs w:val="20"/>
              </w:rPr>
              <w:t>/</w:t>
            </w:r>
            <w:proofErr w:type="spellStart"/>
            <w:r w:rsidRPr="00B537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3700">
              <w:rPr>
                <w:sz w:val="20"/>
                <w:szCs w:val="20"/>
              </w:rPr>
              <w:t>изм</w:t>
            </w:r>
            <w:proofErr w:type="spellEnd"/>
            <w:r w:rsidRPr="00B53700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2020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B5370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2025 (план)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в которых</w:t>
            </w:r>
            <w:r w:rsidRPr="00B53700">
              <w:t xml:space="preserve"> </w:t>
            </w:r>
            <w:r w:rsidRPr="00B53700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B53700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1F2236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236" w:rsidRPr="001E0BB8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1E0BB8">
              <w:rPr>
                <w:sz w:val="20"/>
                <w:szCs w:val="20"/>
              </w:rPr>
              <w:t>финансового</w:t>
            </w:r>
            <w:proofErr w:type="gramEnd"/>
          </w:p>
          <w:p w:rsidR="001F2236" w:rsidRPr="008736CA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1F2236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1F2236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1E0BB8" w:rsidRDefault="001F2236" w:rsidP="001F2236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</w:t>
            </w:r>
            <w:proofErr w:type="gramStart"/>
            <w:r w:rsidRPr="001E0BB8">
              <w:rPr>
                <w:sz w:val="20"/>
                <w:szCs w:val="20"/>
              </w:rPr>
              <w:t>в</w:t>
            </w:r>
            <w:proofErr w:type="gramEnd"/>
            <w:r w:rsidRPr="001E0BB8">
              <w:rPr>
                <w:sz w:val="20"/>
                <w:szCs w:val="20"/>
              </w:rPr>
              <w:t xml:space="preserve"> </w:t>
            </w:r>
          </w:p>
          <w:p w:rsidR="001F2236" w:rsidRPr="008736CA" w:rsidRDefault="001F2236" w:rsidP="001F2236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Default="001F2236" w:rsidP="001F223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1F2236" w:rsidRPr="008736CA" w:rsidRDefault="001F2236" w:rsidP="001F223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9 900,148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9 900,148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1E0BB8" w:rsidRDefault="001F2236" w:rsidP="001F2236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1F2236" w:rsidRPr="008736CA" w:rsidRDefault="001F2236" w:rsidP="001F2236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6" w:rsidRPr="008736CA" w:rsidRDefault="001F2236" w:rsidP="001F2236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223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1F2236" w:rsidRPr="008736CA" w:rsidRDefault="001F2236" w:rsidP="001F2236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1D76E1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№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72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72E9">
              <w:rPr>
                <w:sz w:val="20"/>
                <w:szCs w:val="20"/>
              </w:rPr>
              <w:t>/</w:t>
            </w:r>
            <w:proofErr w:type="spellStart"/>
            <w:r w:rsidRPr="000772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Ед.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0772E9">
              <w:rPr>
                <w:sz w:val="20"/>
                <w:szCs w:val="20"/>
              </w:rPr>
              <w:t>изм</w:t>
            </w:r>
            <w:proofErr w:type="spellEnd"/>
            <w:r w:rsidRPr="000772E9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2020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0772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2025 (план)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</w:tr>
      <w:tr w:rsidR="00F93BF0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B002A">
              <w:rPr>
                <w:sz w:val="20"/>
                <w:szCs w:val="20"/>
              </w:rPr>
              <w:t>финансового</w:t>
            </w:r>
            <w:proofErr w:type="gramEnd"/>
          </w:p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Расходы (тыс. рублей)</w:t>
            </w:r>
          </w:p>
        </w:tc>
      </w:tr>
      <w:tr w:rsidR="00F93BF0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F93BF0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EB002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бюджет </w:t>
            </w:r>
          </w:p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F93BF0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0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002A">
              <w:rPr>
                <w:sz w:val="20"/>
                <w:szCs w:val="20"/>
              </w:rPr>
              <w:t>/</w:t>
            </w:r>
            <w:proofErr w:type="spellStart"/>
            <w:r w:rsidRPr="00EB00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B002A">
              <w:rPr>
                <w:sz w:val="20"/>
                <w:szCs w:val="20"/>
              </w:rPr>
              <w:t>изм</w:t>
            </w:r>
            <w:proofErr w:type="spellEnd"/>
            <w:r w:rsidRPr="00EB002A">
              <w:rPr>
                <w:sz w:val="20"/>
                <w:szCs w:val="20"/>
              </w:rPr>
              <w:t>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0A2135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F654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F654C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AF654C">
              <w:rPr>
                <w:sz w:val="20"/>
                <w:szCs w:val="20"/>
              </w:rPr>
              <w:t>финансового</w:t>
            </w:r>
            <w:proofErr w:type="gramEnd"/>
          </w:p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Расходы (тыс. рублей)</w:t>
            </w:r>
          </w:p>
        </w:tc>
      </w:tr>
      <w:tr w:rsidR="000A2135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AF654C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2025 (план)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F654C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бюджет </w:t>
            </w:r>
          </w:p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0A2135" w:rsidRPr="00A91044" w:rsidRDefault="000A2135" w:rsidP="000A2135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EC462A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623"/>
        <w:gridCol w:w="1008"/>
        <w:gridCol w:w="1223"/>
        <w:gridCol w:w="675"/>
        <w:gridCol w:w="817"/>
        <w:gridCol w:w="676"/>
        <w:gridCol w:w="676"/>
        <w:gridCol w:w="676"/>
        <w:gridCol w:w="676"/>
        <w:gridCol w:w="676"/>
        <w:gridCol w:w="1624"/>
        <w:gridCol w:w="710"/>
        <w:gridCol w:w="758"/>
        <w:gridCol w:w="570"/>
        <w:gridCol w:w="499"/>
        <w:gridCol w:w="570"/>
        <w:gridCol w:w="570"/>
        <w:gridCol w:w="499"/>
        <w:gridCol w:w="499"/>
        <w:gridCol w:w="220"/>
      </w:tblGrid>
      <w:tr w:rsidR="004B5F49" w:rsidRPr="004B5F49" w:rsidTr="00F03598">
        <w:trPr>
          <w:gridAfter w:val="1"/>
          <w:wAfter w:w="32" w:type="dxa"/>
          <w:trHeight w:val="11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8"/>
                <w:szCs w:val="28"/>
              </w:rPr>
            </w:pPr>
            <w:r w:rsidRPr="004B5F49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4B5F49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4B5F49" w:rsidRPr="004B5F49" w:rsidTr="00F03598">
        <w:trPr>
          <w:gridAfter w:val="1"/>
          <w:wAfter w:w="32" w:type="dxa"/>
          <w:trHeight w:val="4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8"/>
                <w:szCs w:val="28"/>
              </w:rPr>
            </w:pPr>
            <w:r w:rsidRPr="004B5F49">
              <w:rPr>
                <w:color w:val="000000"/>
                <w:sz w:val="28"/>
                <w:szCs w:val="28"/>
              </w:rPr>
              <w:t xml:space="preserve"> </w:t>
            </w:r>
          </w:p>
          <w:p w:rsidR="004B5F49" w:rsidRPr="004B5F49" w:rsidRDefault="004B5F49" w:rsidP="004B5F49">
            <w:pPr>
              <w:jc w:val="center"/>
              <w:rPr>
                <w:color w:val="000000"/>
                <w:sz w:val="28"/>
                <w:szCs w:val="28"/>
              </w:rPr>
            </w:pPr>
            <w:r w:rsidRPr="004B5F49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</w:tr>
      <w:tr w:rsidR="004B5F49" w:rsidRPr="004B5F49" w:rsidTr="00F03598">
        <w:trPr>
          <w:gridAfter w:val="1"/>
          <w:wAfter w:w="32" w:type="dxa"/>
          <w:trHeight w:val="660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B5F49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sz w:val="32"/>
                <w:szCs w:val="32"/>
              </w:rPr>
            </w:pPr>
          </w:p>
        </w:tc>
      </w:tr>
      <w:tr w:rsidR="004B5F49" w:rsidRPr="004B5F49" w:rsidTr="00F03598">
        <w:trPr>
          <w:gridAfter w:val="1"/>
          <w:wAfter w:w="32" w:type="dxa"/>
          <w:trHeight w:val="37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4B5F49" w:rsidRPr="004B5F49" w:rsidTr="00F03598">
        <w:trPr>
          <w:trHeight w:val="5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Наименование</w:t>
            </w:r>
            <w:r w:rsidRPr="004B5F4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Базовое</w:t>
            </w:r>
            <w:r w:rsidRPr="004B5F49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7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3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8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0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64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167 497,910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30 084,097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1.1.1.1. Число зрителей</w:t>
            </w:r>
            <w:r w:rsidRPr="004B5F49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318 684,427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59 364,533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110 896,040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23 674,487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17 501,033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16 280,122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18 369,118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17 742,926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17 328,354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5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154 187,750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28 652,366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77 600,797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13 136,124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119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445 270,178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80 686,211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9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78 215,182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13 534,474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0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107 321,172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18 354,639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1.1.10. Реализация мероприятий в сфере молодежной политики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22,225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sz w:val="20"/>
                <w:szCs w:val="20"/>
              </w:rPr>
            </w:pPr>
            <w:r w:rsidRPr="004B5F49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5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1.1.11.1. Число учреждений</w:t>
            </w:r>
            <w:r w:rsidRPr="004B5F4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5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170 466,732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47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1 641 317,388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308 474,826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1 640 617,388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308 474,826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right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Задача № 1.2. Формирование культурного имиджа территории, развитие </w:t>
            </w:r>
            <w:proofErr w:type="spellStart"/>
            <w:r w:rsidRPr="004B5F49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2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1.2.1. Фестиваль искусств детей и юношества Пермского края им.Д.Б.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spacing w:after="280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0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4 480,040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spacing w:after="280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1.2.2.2. День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1.2.2.3. Мероприятия, посвященные 75-летию 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1.2.3. Издательская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0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60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60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9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1.3.2. Развитие и укрепление материально-технической базы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учреждений (и их филиалов), расположенных в населенных 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8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3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1.3.2.1. Развитие и укрепление материально-технической базы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1.3.3. Строительство сельского дома культуры в п. Буренка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1.3.3.2. Количество </w:t>
            </w:r>
            <w:proofErr w:type="gramStart"/>
            <w:r w:rsidRPr="004B5F49">
              <w:rPr>
                <w:color w:val="000000"/>
                <w:sz w:val="20"/>
                <w:szCs w:val="20"/>
              </w:rPr>
              <w:t>разработанных</w:t>
            </w:r>
            <w:proofErr w:type="gramEnd"/>
            <w:r w:rsidRPr="004B5F49">
              <w:rPr>
                <w:color w:val="000000"/>
                <w:sz w:val="20"/>
                <w:szCs w:val="20"/>
              </w:rPr>
              <w:t xml:space="preserve"> ПСД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1.3.4. Обеспечение музыкальными инструментами, оборудованием 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и материалами образовательных учреждений в сфере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7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1.3.5. Отапливаемый санузел на 8 кабин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7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6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1.3.7.1. Количество проведенных мероприятий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6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1.4.1. Государственная поддержка отрасли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9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1.4.2. Развитие сети учреждений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типа (построение (реконструкция) и (или) капитальный ремонт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организаций в сельской 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местности)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02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4B5F49">
              <w:rPr>
                <w:color w:val="000000"/>
                <w:sz w:val="20"/>
                <w:szCs w:val="20"/>
              </w:rPr>
              <w:br/>
              <w:t>передвижных</w:t>
            </w:r>
            <w:r w:rsidRPr="004B5F49">
              <w:rPr>
                <w:color w:val="000000"/>
                <w:sz w:val="20"/>
                <w:szCs w:val="20"/>
              </w:rPr>
              <w:br/>
              <w:t>многофункциональных</w:t>
            </w:r>
            <w:r w:rsidRPr="004B5F49">
              <w:rPr>
                <w:color w:val="000000"/>
                <w:sz w:val="20"/>
                <w:szCs w:val="20"/>
              </w:rPr>
              <w:br/>
              <w:t>культурных центров</w:t>
            </w:r>
            <w:r w:rsidRPr="004B5F49">
              <w:rPr>
                <w:color w:val="000000"/>
                <w:sz w:val="20"/>
                <w:szCs w:val="20"/>
              </w:rPr>
              <w:br/>
              <w:t>(автоклубов) для</w:t>
            </w:r>
            <w:r w:rsidRPr="004B5F49">
              <w:rPr>
                <w:color w:val="000000"/>
                <w:sz w:val="20"/>
                <w:szCs w:val="20"/>
              </w:rPr>
              <w:br/>
              <w:t>обслуживания</w:t>
            </w:r>
            <w:r w:rsidRPr="004B5F49">
              <w:rPr>
                <w:color w:val="000000"/>
                <w:sz w:val="20"/>
                <w:szCs w:val="20"/>
              </w:rPr>
              <w:br/>
              <w:t>сельского населения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1.4.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1 000,00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1.6.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1 752 808,958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316 326,671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1 685 610,219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311 894,426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26 745,434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4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1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4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6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2.1.1.1. Замена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2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2.1.1.2. Проведение текущего ремонта противопожарного водопровода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5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>. Огнезащитная обработка поверхностей. Монтаж противопожарного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2.1.1.3.1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9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0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9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16 057,845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3 003,661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2.2.1.1. Число учреждений</w:t>
            </w:r>
            <w:r w:rsidRPr="004B5F4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2.2.1.1. Ремонт входной группы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5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2.2.1.2. Ремонт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отмостки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фундаментов, подвала 5-ти этажного здания и ремонт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отмостки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фундаментов, замена водостоков 3-х этажного здания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2.2.1.3. Капитальный ремонт здания театра драмы и комедии по адресу: Пермский край, г. Чайковский, ул. </w:t>
            </w:r>
            <w:proofErr w:type="gramStart"/>
            <w:r w:rsidRPr="004B5F49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4B5F49">
              <w:rPr>
                <w:color w:val="000000"/>
                <w:sz w:val="20"/>
                <w:szCs w:val="20"/>
              </w:rPr>
              <w:t xml:space="preserve"> д. 5/2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6 630,672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1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4B5F4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B5F49">
              <w:rPr>
                <w:color w:val="000000"/>
                <w:sz w:val="20"/>
                <w:szCs w:val="20"/>
              </w:rPr>
              <w:t>льховка, ул. Школьная, 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1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2.2.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31 508,771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9 554,748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24 447,961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9 554,748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9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4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Задача № 2.4. Обеспечение доступности учреждений дополнительного образования, культуры и молодежной политики для инвалидов и других </w:t>
            </w:r>
            <w:proofErr w:type="spellStart"/>
            <w:r w:rsidRPr="004B5F49">
              <w:rPr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2.4.1. Приведение в нормативное состояние имущественных комплексов учреждений с целью обеспечения 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доступности инвалидов и других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10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00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 xml:space="preserve">2.5.1.1 Ремонт здания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2.5.1.4 Ремонт помещения МБУК «Чайковская ЦБС»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2.5.1.4.1.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2.5.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1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2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2.6.2. Проект "Архитектурно-этнографический комплекс "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Сайгатка</w:t>
            </w:r>
            <w:proofErr w:type="spellEnd"/>
            <w:r w:rsidRPr="004B5F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2.6.2.1. Количество </w:t>
            </w:r>
            <w:proofErr w:type="gramStart"/>
            <w:r w:rsidRPr="004B5F49">
              <w:rPr>
                <w:color w:val="000000"/>
                <w:sz w:val="20"/>
                <w:szCs w:val="20"/>
              </w:rPr>
              <w:t>разработанных</w:t>
            </w:r>
            <w:proofErr w:type="gramEnd"/>
            <w:r w:rsidRPr="004B5F49">
              <w:rPr>
                <w:color w:val="000000"/>
                <w:sz w:val="20"/>
                <w:szCs w:val="20"/>
              </w:rPr>
              <w:t xml:space="preserve"> ПСД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62 304,780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9 900,148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51 852,262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9 900,148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16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2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2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19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3.1.2.1. Количество работников, имеющих право и  получающих социальные гарантии и льготы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6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51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6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8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268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4B5F49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</w:t>
            </w:r>
            <w:r w:rsidRPr="004B5F49">
              <w:rPr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45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4.1.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6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3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1 887 947,346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339 363,944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53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1 810 296,089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334 931,699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66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37 197,952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  <w:tr w:rsidR="004B5F49" w:rsidRPr="004B5F49" w:rsidTr="00F03598">
        <w:trPr>
          <w:trHeight w:val="8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49" w:rsidRPr="004B5F49" w:rsidRDefault="004B5F49" w:rsidP="004B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F49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49" w:rsidRPr="004B5F49" w:rsidRDefault="004B5F49" w:rsidP="004B5F49">
            <w:pPr>
              <w:jc w:val="center"/>
              <w:rPr>
                <w:color w:val="000000"/>
                <w:sz w:val="20"/>
                <w:szCs w:val="20"/>
              </w:rPr>
            </w:pPr>
            <w:r w:rsidRPr="004B5F4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49" w:rsidRPr="004B5F49" w:rsidRDefault="004B5F49" w:rsidP="004B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4B5F49" w:rsidRPr="004B5F49" w:rsidRDefault="004B5F49" w:rsidP="004B5F49">
            <w:pPr>
              <w:rPr>
                <w:sz w:val="20"/>
                <w:szCs w:val="20"/>
              </w:rPr>
            </w:pPr>
          </w:p>
        </w:tc>
      </w:tr>
    </w:tbl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lastRenderedPageBreak/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округа», </w:t>
      </w:r>
      <w:proofErr w:type="gramStart"/>
      <w:r w:rsidRPr="00AA4E43">
        <w:rPr>
          <w:color w:val="000000"/>
          <w:sz w:val="28"/>
          <w:szCs w:val="28"/>
        </w:rPr>
        <w:t>результаты</w:t>
      </w:r>
      <w:proofErr w:type="gramEnd"/>
      <w:r w:rsidRPr="00AA4E43">
        <w:rPr>
          <w:color w:val="000000"/>
          <w:sz w:val="28"/>
          <w:szCs w:val="28"/>
        </w:rPr>
        <w:t xml:space="preserve">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4E4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A4E43">
              <w:rPr>
                <w:sz w:val="18"/>
                <w:szCs w:val="18"/>
              </w:rPr>
              <w:t>/</w:t>
            </w:r>
            <w:proofErr w:type="spellStart"/>
            <w:r w:rsidRPr="00AA4E4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proofErr w:type="spellStart"/>
            <w:r>
              <w:rPr>
                <w:sz w:val="18"/>
                <w:szCs w:val="18"/>
              </w:rPr>
              <w:t>культурно-досуговыми</w:t>
            </w:r>
            <w:proofErr w:type="spellEnd"/>
            <w:r>
              <w:rPr>
                <w:sz w:val="18"/>
                <w:szCs w:val="18"/>
              </w:rPr>
              <w:t xml:space="preserve">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молодежи в возрасте от 14 до 35 лет / общее количество участников кружков и секций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объектов культурного наследия, находящихся в удовлетворительном состоянии / общее количество объектов</w:t>
            </w:r>
            <w:r w:rsidRPr="00AA4E43">
              <w:t xml:space="preserve">  </w:t>
            </w:r>
            <w:r w:rsidRPr="00AA4E43">
              <w:rPr>
                <w:sz w:val="18"/>
                <w:szCs w:val="18"/>
              </w:rPr>
              <w:t xml:space="preserve">культурного наследия, находящихся в муниципальной собственности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Численность занятых должностей (ставок) основного персонала учреждений / общее число должностей (ставок) основного персонала учреждений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Количество работников, имеющих право и 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82" w:rsidRDefault="00010C82">
      <w:r>
        <w:separator/>
      </w:r>
    </w:p>
  </w:endnote>
  <w:endnote w:type="continuationSeparator" w:id="0">
    <w:p w:rsidR="00010C82" w:rsidRDefault="0001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82" w:rsidRDefault="00010C82">
      <w:r>
        <w:separator/>
      </w:r>
    </w:p>
  </w:footnote>
  <w:footnote w:type="continuationSeparator" w:id="0">
    <w:p w:rsidR="00010C82" w:rsidRDefault="0001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2772E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C82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72EA"/>
    <w:rsid w:val="001438D7"/>
    <w:rsid w:val="00150D19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C6569"/>
    <w:rsid w:val="001D02CD"/>
    <w:rsid w:val="001D76E1"/>
    <w:rsid w:val="001E268C"/>
    <w:rsid w:val="001E390D"/>
    <w:rsid w:val="001E6C9D"/>
    <w:rsid w:val="001F2236"/>
    <w:rsid w:val="00203BDC"/>
    <w:rsid w:val="002051EE"/>
    <w:rsid w:val="00207D16"/>
    <w:rsid w:val="00213739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772E0"/>
    <w:rsid w:val="00280ACF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3A4B"/>
    <w:rsid w:val="00396A20"/>
    <w:rsid w:val="00397009"/>
    <w:rsid w:val="003C389A"/>
    <w:rsid w:val="003D2FDB"/>
    <w:rsid w:val="003E5175"/>
    <w:rsid w:val="003F6577"/>
    <w:rsid w:val="003F6970"/>
    <w:rsid w:val="00414494"/>
    <w:rsid w:val="004178C3"/>
    <w:rsid w:val="0042345A"/>
    <w:rsid w:val="00426EB2"/>
    <w:rsid w:val="0043057B"/>
    <w:rsid w:val="00442A4C"/>
    <w:rsid w:val="00446668"/>
    <w:rsid w:val="00462A06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41490"/>
    <w:rsid w:val="00745851"/>
    <w:rsid w:val="00747818"/>
    <w:rsid w:val="00753B5A"/>
    <w:rsid w:val="00755436"/>
    <w:rsid w:val="00757076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70D6"/>
    <w:rsid w:val="00B15F9A"/>
    <w:rsid w:val="00B32A3C"/>
    <w:rsid w:val="00B46CCF"/>
    <w:rsid w:val="00B524FE"/>
    <w:rsid w:val="00B54ECD"/>
    <w:rsid w:val="00B66A31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80448"/>
    <w:rsid w:val="00C82295"/>
    <w:rsid w:val="00C85778"/>
    <w:rsid w:val="00C85F04"/>
    <w:rsid w:val="00C97526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27A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ACDC-6BCB-4D93-947A-6787FB7A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7614</Words>
  <Characters>43402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2023-07-04T06:57:00Z</dcterms:created>
  <dcterms:modified xsi:type="dcterms:W3CDTF">2023-07-04T06:57:00Z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